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2"/>
          <w:szCs w:val="42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2"/>
          <w:szCs w:val="42"/>
          <w:bdr w:val="none" w:color="auto" w:sz="0" w:space="0"/>
          <w:shd w:val="clear" w:fill="FFFFFF"/>
        </w:rPr>
        <w:t>财政部 税务总局关于增值税小规模纳税人减免增值税政策的公告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/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财政部 税务总局公告2023年第19号</w:t>
      </w:r>
      <w:bookmarkStart w:id="0" w:name="_GoBack"/>
      <w:bookmarkEnd w:id="0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22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为进一步支持小微企业和个体工商户发展，现将延续小规模纳税人增值税减免政策公告如下：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一、对月销售额10万元以下（含本数）的增值税小规模纳税人，免征增值税。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二、增值税小规模纳税人适用3%征收率的应税销售收入，减按1%征收率征收增值税；适用3%预征率的预缴增值税项目，减按1%预征率预缴增值税。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三、本公告执行至2027年12月31日。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特此公告。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right"/>
            </w:pPr>
            <w:r>
              <w:rPr>
                <w:bdr w:val="none" w:color="auto" w:sz="0" w:space="0"/>
              </w:rPr>
              <w:t>财政部 税务总局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right"/>
            </w:pPr>
            <w:r>
              <w:rPr>
                <w:bdr w:val="none" w:color="auto" w:sz="0" w:space="0"/>
              </w:rPr>
              <w:t>2023年8月1日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B0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2023-08-03T00:27:57Z</dcterms:created>
  <dc:creator>Administrator</dc:creator>
  <cp:lastModifiedBy>李殿科</cp:lastModifiedBy>
  <dcterms:modified xsi:type="dcterms:W3CDTF">2023-08-03T00:28:26Z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